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sz w:val="64"/>
                <w:highlight w:val="none"/>
              </w:rPr>
              <w:t>2</w:t>
            </w:r>
            <w:r>
              <w:rPr>
                <w:rFonts w:hint="eastAsia" w:eastAsia="宋体"/>
                <w:sz w:val="64"/>
                <w:highlight w:val="none"/>
                <w:lang w:val="en-US" w:eastAsia="zh-CN"/>
              </w:rPr>
              <w:t>2</w:t>
            </w:r>
            <w:r>
              <w:rPr>
                <w:sz w:val="64"/>
                <w:highlight w:val="none"/>
              </w:rPr>
              <w:t>.</w:t>
            </w:r>
            <w:bookmarkEnd w:id="2"/>
            <w:r>
              <w:rPr>
                <w:rFonts w:hint="eastAsia" w:eastAsia="宋体"/>
                <w:sz w:val="64"/>
                <w:highlight w:val="none"/>
                <w:lang w:val="en-US" w:eastAsia="zh-CN"/>
              </w:rPr>
              <w:t>xxx</w:t>
            </w:r>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0</w:t>
            </w:r>
            <w:r>
              <w:rPr>
                <w:highlight w:val="none"/>
              </w:rPr>
              <w:t>.</w:t>
            </w:r>
            <w:bookmarkEnd w:id="3"/>
            <w:r>
              <w:rPr>
                <w:highlight w:val="none"/>
              </w:rPr>
              <w:t xml:space="preserve">0 </w:t>
            </w:r>
            <w:r>
              <w:rPr>
                <w:sz w:val="32"/>
                <w:highlight w:val="none"/>
              </w:rPr>
              <w:t>(</w:t>
            </w:r>
            <w:bookmarkStart w:id="4" w:name="issueDate"/>
            <w:r>
              <w:rPr>
                <w:sz w:val="32"/>
                <w:highlight w:val="none"/>
              </w:rPr>
              <w:t>202</w:t>
            </w:r>
            <w:r>
              <w:rPr>
                <w:rFonts w:hint="eastAsia" w:eastAsia="宋体"/>
                <w:sz w:val="32"/>
                <w:highlight w:val="none"/>
                <w:lang w:val="en-US" w:eastAsia="zh-CN"/>
              </w:rPr>
              <w:t>4</w:t>
            </w:r>
            <w:r>
              <w:rPr>
                <w:sz w:val="32"/>
                <w:highlight w:val="none"/>
              </w:rPr>
              <w:t>-</w:t>
            </w:r>
            <w:bookmarkEnd w:id="4"/>
            <w:r>
              <w:rPr>
                <w:sz w:val="32"/>
                <w:highlight w:val="none"/>
              </w:rPr>
              <w:t>0</w:t>
            </w:r>
            <w:r>
              <w:rPr>
                <w:rFonts w:hint="eastAsia" w:eastAsia="宋体"/>
                <w:sz w:val="32"/>
                <w:highlight w:val="none"/>
                <w:lang w:val="en-US" w:eastAsia="zh-CN"/>
              </w:rPr>
              <w:t>2</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3"/>
              <w:rPr>
                <w:highlight w:val="none"/>
              </w:rPr>
            </w:pPr>
            <w:r>
              <w:rPr>
                <w:highlight w:val="none"/>
              </w:rPr>
              <w:t xml:space="preserve"> </w:t>
            </w: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rPr>
                <w:highlight w:val="none"/>
              </w:rPr>
            </w:pPr>
            <w:r>
              <w:rPr>
                <w:highlight w:val="none"/>
              </w:rPr>
              <w:t>3rd Generation Partnership Project;</w:t>
            </w:r>
          </w:p>
          <w:p>
            <w:pPr>
              <w:pStyle w:val="50"/>
              <w:framePr w:wrap="auto" w:vAnchor="margin" w:hAnchor="text" w:yAlign="inline"/>
              <w:rPr>
                <w:highlight w:val="none"/>
              </w:rPr>
            </w:pPr>
            <w:r>
              <w:rPr>
                <w:highlight w:val="none"/>
              </w:rPr>
              <w:t xml:space="preserve">Technical Specification Group </w:t>
            </w:r>
            <w:bookmarkStart w:id="6" w:name="specTitle"/>
            <w:r>
              <w:rPr>
                <w:highlight w:val="none"/>
              </w:rPr>
              <w:t>TSG SA;</w:t>
            </w:r>
          </w:p>
          <w:bookmarkEnd w:id="6"/>
          <w:p>
            <w:pPr>
              <w:pStyle w:val="50"/>
              <w:framePr w:wrap="auto" w:vAnchor="margin" w:hAnchor="text" w:yAlign="inline"/>
              <w:wordWrap w:val="0"/>
              <w:rPr>
                <w:rFonts w:hint="default" w:eastAsia="宋体"/>
                <w:highlight w:val="none"/>
                <w:lang w:val="en-US" w:eastAsia="zh-CN"/>
              </w:rPr>
            </w:pPr>
            <w:r>
              <w:rPr>
                <w:highlight w:val="none"/>
              </w:rPr>
              <w:t>Study on Energy Efficiency as service criteria</w:t>
            </w:r>
            <w:r>
              <w:rPr>
                <w:rFonts w:hint="eastAsia" w:eastAsia="宋体"/>
                <w:highlight w:val="none"/>
                <w:lang w:val="en-US" w:eastAsia="zh-CN"/>
              </w:rPr>
              <w:t xml:space="preserve"> Ph 2</w:t>
            </w:r>
          </w:p>
          <w:p>
            <w:pPr>
              <w:pStyle w:val="50"/>
              <w:framePr w:wrap="auto" w:vAnchor="margin" w:hAnchor="text" w:yAlign="inline"/>
              <w:rPr>
                <w:i/>
                <w:sz w:val="28"/>
                <w:highlight w:val="none"/>
              </w:rPr>
            </w:pPr>
            <w:r>
              <w:rPr>
                <w:highlight w:val="none"/>
              </w:rPr>
              <w:t>(</w:t>
            </w:r>
            <w:r>
              <w:rPr>
                <w:rStyle w:val="30"/>
                <w:highlight w:val="none"/>
              </w:rPr>
              <w:t xml:space="preserve">Release </w:t>
            </w:r>
            <w:r>
              <w:rPr>
                <w:rStyle w:val="30"/>
                <w:rFonts w:hint="eastAsia" w:eastAsia="宋体"/>
                <w:highlight w:val="none"/>
                <w:lang w:val="en-US" w:eastAsia="zh-CN"/>
              </w:rPr>
              <w:t>20</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3"/>
            </w:pPr>
            <w:bookmarkStart w:id="8" w:name="page2"/>
          </w:p>
        </w:tc>
      </w:tr>
      <w:tr>
        <w:trPr>
          <w:trHeight w:val="5387" w:hRule="exact"/>
        </w:trPr>
        <w:tc>
          <w:tcPr>
            <w:tcW w:w="10423" w:type="dxa"/>
            <w:shd w:val="clear" w:color="auto" w:fill="auto"/>
          </w:tcPr>
          <w:p>
            <w:pPr>
              <w:pStyle w:val="42"/>
              <w:spacing w:after="240"/>
              <w:ind w:left="2835" w:right="2835"/>
              <w:jc w:val="center"/>
              <w:rPr>
                <w:rFonts w:ascii="Arial" w:hAnsi="Arial"/>
                <w:b/>
                <w:i/>
              </w:rPr>
            </w:pPr>
            <w:bookmarkStart w:id="9" w:name="coords3gpp"/>
            <w:r>
              <w:rPr>
                <w:rFonts w:ascii="Arial" w:hAnsi="Arial"/>
                <w:b/>
                <w:i/>
              </w:rPr>
              <w:t>3GPP</w:t>
            </w:r>
          </w:p>
          <w:p>
            <w:pPr>
              <w:pStyle w:val="42"/>
              <w:pBdr>
                <w:bottom w:val="single" w:color="auto" w:sz="6" w:space="1"/>
              </w:pBdr>
              <w:ind w:left="2835" w:right="2835"/>
              <w:jc w:val="center"/>
            </w:pPr>
            <w:r>
              <w:t>Postal address</w:t>
            </w:r>
          </w:p>
          <w:p>
            <w:pPr>
              <w:pStyle w:val="42"/>
              <w:ind w:left="2835" w:right="2835"/>
              <w:jc w:val="center"/>
              <w:rPr>
                <w:rFonts w:ascii="Arial" w:hAnsi="Arial"/>
                <w:sz w:val="18"/>
              </w:rPr>
            </w:pPr>
          </w:p>
          <w:p>
            <w:pPr>
              <w:pStyle w:val="42"/>
              <w:pBdr>
                <w:bottom w:val="single" w:color="auto" w:sz="6" w:space="1"/>
              </w:pBdr>
              <w:spacing w:before="240"/>
              <w:ind w:left="2835" w:right="2835"/>
              <w:jc w:val="center"/>
            </w:pPr>
            <w:r>
              <w:t>3GPP support office address</w:t>
            </w:r>
          </w:p>
          <w:p>
            <w:pPr>
              <w:pStyle w:val="42"/>
              <w:ind w:left="2835" w:right="2835"/>
              <w:jc w:val="center"/>
              <w:rPr>
                <w:rFonts w:ascii="Arial" w:hAnsi="Arial"/>
                <w:sz w:val="18"/>
                <w:lang w:val="fr-FR"/>
              </w:rPr>
            </w:pPr>
            <w:r>
              <w:rPr>
                <w:rFonts w:ascii="Arial" w:hAnsi="Arial"/>
                <w:sz w:val="18"/>
                <w:lang w:val="fr-FR"/>
              </w:rPr>
              <w:t>650 Route des Lucioles - Sophia Antipolis</w:t>
            </w:r>
          </w:p>
          <w:p>
            <w:pPr>
              <w:pStyle w:val="42"/>
              <w:ind w:left="2835" w:right="2835"/>
              <w:jc w:val="center"/>
              <w:rPr>
                <w:rFonts w:ascii="Arial" w:hAnsi="Arial"/>
                <w:sz w:val="18"/>
                <w:lang w:val="fr-FR"/>
              </w:rPr>
            </w:pPr>
            <w:r>
              <w:rPr>
                <w:rFonts w:ascii="Arial" w:hAnsi="Arial"/>
                <w:sz w:val="18"/>
                <w:lang w:val="fr-FR"/>
              </w:rPr>
              <w:t>Valbonne - FRANCE</w:t>
            </w:r>
          </w:p>
          <w:p>
            <w:pPr>
              <w:pStyle w:val="42"/>
              <w:spacing w:after="20"/>
              <w:ind w:left="2835" w:right="2835"/>
              <w:jc w:val="center"/>
              <w:rPr>
                <w:rFonts w:ascii="Arial" w:hAnsi="Arial"/>
                <w:sz w:val="18"/>
              </w:rPr>
            </w:pPr>
            <w:r>
              <w:rPr>
                <w:rFonts w:ascii="Arial" w:hAnsi="Arial"/>
                <w:sz w:val="18"/>
              </w:rPr>
              <w:t>Tel.: +33 4 92 94 42 00 Fax: +33 4 93 65 47 16</w:t>
            </w:r>
          </w:p>
          <w:p>
            <w:pPr>
              <w:pStyle w:val="42"/>
              <w:pBdr>
                <w:bottom w:val="single" w:color="auto" w:sz="6" w:space="1"/>
              </w:pBdr>
              <w:spacing w:before="240"/>
              <w:ind w:left="2835" w:right="2835"/>
              <w:jc w:val="center"/>
            </w:pPr>
            <w:r>
              <w:t>Internet</w:t>
            </w:r>
          </w:p>
          <w:p>
            <w:pPr>
              <w:pStyle w:val="42"/>
              <w:ind w:left="2835" w:right="2835"/>
              <w:jc w:val="center"/>
              <w:rPr>
                <w:rFonts w:ascii="Arial" w:hAnsi="Arial"/>
                <w:sz w:val="18"/>
              </w:rPr>
            </w:pPr>
            <w:r>
              <w:rPr>
                <w:rFonts w:ascii="Arial" w:hAnsi="Arial"/>
                <w:sz w:val="18"/>
              </w:rPr>
              <w:t>http://www.3gpp.org</w:t>
            </w:r>
            <w:bookmarkEnd w:id="9"/>
          </w:p>
          <w:p/>
        </w:tc>
      </w:tr>
      <w:tr>
        <w:tblPrEx>
          <w:tblCellMar>
            <w:top w:w="0" w:type="dxa"/>
            <w:left w:w="108" w:type="dxa"/>
            <w:bottom w:w="0" w:type="dxa"/>
            <w:right w:w="108" w:type="dxa"/>
          </w:tblCellMar>
        </w:tblPrEx>
        <w:tc>
          <w:tcPr>
            <w:tcW w:w="10423" w:type="dxa"/>
            <w:shd w:val="clear" w:color="auto" w:fill="auto"/>
            <w:vAlign w:val="bottom"/>
          </w:tcPr>
          <w:p>
            <w:pPr>
              <w:pStyle w:val="42"/>
              <w:pBdr>
                <w:bottom w:val="single" w:color="auto" w:sz="6" w:space="1"/>
              </w:pBdr>
              <w:spacing w:after="240"/>
              <w:jc w:val="center"/>
              <w:rPr>
                <w:rFonts w:ascii="Arial" w:hAnsi="Arial"/>
                <w:b/>
                <w:i/>
              </w:rPr>
            </w:pPr>
            <w:bookmarkStart w:id="10" w:name="copyrightNotification"/>
            <w:r>
              <w:rPr>
                <w:rFonts w:ascii="Arial" w:hAnsi="Arial"/>
                <w:b/>
                <w:i/>
              </w:rPr>
              <w:t>Copyright Notification</w:t>
            </w:r>
          </w:p>
          <w:p>
            <w:pPr>
              <w:pStyle w:val="42"/>
              <w:jc w:val="center"/>
            </w:pPr>
            <w:r>
              <w:t>No part may be reproduced except as authorized by written permission.</w:t>
            </w:r>
            <w:r>
              <w:br w:type="textWrapping"/>
            </w:r>
            <w:r>
              <w:t>The copyright and the foregoing restriction extend to reproduction in all media.</w:t>
            </w:r>
          </w:p>
          <w:p>
            <w:pPr>
              <w:pStyle w:val="42"/>
              <w:jc w:val="center"/>
            </w:pPr>
          </w:p>
          <w:p>
            <w:pPr>
              <w:pStyle w:val="42"/>
              <w:jc w:val="center"/>
              <w:rPr>
                <w:sz w:val="18"/>
              </w:rPr>
            </w:pPr>
            <w:r>
              <w:rPr>
                <w:sz w:val="18"/>
              </w:rPr>
              <w:t xml:space="preserve">© </w:t>
            </w:r>
            <w:bookmarkStart w:id="11" w:name="copyrightDate"/>
            <w:r>
              <w:rPr>
                <w:sz w:val="18"/>
                <w:highlight w:val="yellow"/>
              </w:rPr>
              <w:t>202</w:t>
            </w:r>
            <w:bookmarkEnd w:id="11"/>
            <w:r>
              <w:rPr>
                <w:rFonts w:hint="eastAsia" w:eastAsia="宋体"/>
                <w:sz w:val="18"/>
                <w:highlight w:val="yellow"/>
                <w:lang w:val="en-US" w:eastAsia="zh-CN"/>
              </w:rPr>
              <w:t>4</w:t>
            </w:r>
            <w:r>
              <w:rPr>
                <w:sz w:val="18"/>
              </w:rPr>
              <w:t>, 3GPP Organizational Partners (ARIB, ATIS, CCSA, ETSI, TSDSI, TTA, TTC).</w:t>
            </w:r>
            <w:bookmarkStart w:id="12" w:name="copyrightaddon"/>
            <w:bookmarkEnd w:id="12"/>
          </w:p>
          <w:p>
            <w:pPr>
              <w:pStyle w:val="42"/>
              <w:jc w:val="center"/>
              <w:rPr>
                <w:sz w:val="18"/>
              </w:rPr>
            </w:pPr>
            <w:r>
              <w:rPr>
                <w:sz w:val="18"/>
              </w:rPr>
              <w:t>All rights reserved.</w:t>
            </w:r>
          </w:p>
          <w:p>
            <w:pPr>
              <w:pStyle w:val="42"/>
              <w:rPr>
                <w:sz w:val="18"/>
              </w:rPr>
            </w:pPr>
          </w:p>
          <w:p>
            <w:pPr>
              <w:pStyle w:val="42"/>
              <w:rPr>
                <w:sz w:val="18"/>
              </w:rPr>
            </w:pPr>
            <w:r>
              <w:rPr>
                <w:sz w:val="18"/>
              </w:rPr>
              <w:t>UMTS™ is a Trade Mark of ETSI registered for the benefit of its members</w:t>
            </w:r>
          </w:p>
          <w:p>
            <w:pPr>
              <w:pStyle w:val="42"/>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2"/>
              <w:rPr>
                <w:sz w:val="18"/>
              </w:rPr>
            </w:pPr>
            <w:r>
              <w:rPr>
                <w:sz w:val="18"/>
              </w:rPr>
              <w:t>GSM® and the GSM logo are registered and owned by the GSM Association</w:t>
            </w:r>
            <w:bookmarkEnd w:id="10"/>
          </w:p>
          <w:p/>
        </w:tc>
      </w:tr>
      <w:bookmarkEnd w:id="8"/>
    </w:tbl>
    <w:p>
      <w:pPr>
        <w:pStyle w:val="32"/>
      </w:pPr>
      <w:r>
        <w:br w:type="page"/>
      </w:r>
      <w:bookmarkStart w:id="13" w:name="tableOfContents"/>
      <w:bookmarkEnd w:id="13"/>
      <w:r>
        <w:t>Contents</w:t>
      </w:r>
    </w:p>
    <w:p>
      <w:pPr>
        <w:pStyle w:val="18"/>
        <w:rPr>
          <w:rFonts w:ascii="Calibri" w:hAnsi="Calibri"/>
          <w:szCs w:val="22"/>
          <w:lang w:eastAsia="en-GB"/>
        </w:rPr>
      </w:pPr>
      <w:r>
        <w:fldChar w:fldCharType="begin"/>
      </w:r>
      <w:r>
        <w:instrText xml:space="preserve"> TOC \o "1-9" </w:instrText>
      </w:r>
      <w:r>
        <w:fldChar w:fldCharType="separate"/>
      </w:r>
      <w:r>
        <w:t>Foreword</w:t>
      </w:r>
      <w:r>
        <w:tab/>
      </w:r>
      <w:r>
        <w:fldChar w:fldCharType="begin"/>
      </w:r>
      <w:r>
        <w:instrText xml:space="preserve"> PAGEREF _Toc2086433 \h </w:instrText>
      </w:r>
      <w:r>
        <w:fldChar w:fldCharType="separate"/>
      </w:r>
      <w:r>
        <w:t>5</w:t>
      </w:r>
      <w:r>
        <w:fldChar w:fldCharType="end"/>
      </w:r>
    </w:p>
    <w:p>
      <w:pPr>
        <w:pStyle w:val="18"/>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pPr>
        <w:pStyle w:val="18"/>
        <w:rPr>
          <w:rFonts w:ascii="Calibri" w:hAnsi="Calibri"/>
          <w:szCs w:val="22"/>
          <w:lang w:eastAsia="en-GB"/>
        </w:rPr>
      </w:pPr>
      <w:r>
        <w:t>1</w:t>
      </w:r>
      <w:r>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pPr>
        <w:pStyle w:val="18"/>
        <w:rPr>
          <w:rFonts w:ascii="Calibri" w:hAnsi="Calibri"/>
          <w:szCs w:val="22"/>
          <w:lang w:eastAsia="en-GB"/>
        </w:rPr>
      </w:pPr>
      <w:r>
        <w:t>2</w:t>
      </w:r>
      <w:r>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pPr>
        <w:pStyle w:val="18"/>
        <w:rPr>
          <w:rFonts w:ascii="Calibri" w:hAnsi="Calibri"/>
          <w:szCs w:val="22"/>
          <w:lang w:eastAsia="en-GB"/>
        </w:rPr>
      </w:pPr>
      <w:r>
        <w:t>3</w:t>
      </w:r>
      <w:r>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pPr>
        <w:pStyle w:val="17"/>
        <w:rPr>
          <w:rFonts w:ascii="Calibri" w:hAnsi="Calibri"/>
          <w:sz w:val="22"/>
          <w:szCs w:val="22"/>
          <w:lang w:eastAsia="en-GB"/>
        </w:rPr>
      </w:pPr>
      <w:r>
        <w:t>3.1</w:t>
      </w:r>
      <w:r>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pPr>
        <w:pStyle w:val="17"/>
        <w:rPr>
          <w:rFonts w:ascii="Calibri" w:hAnsi="Calibri"/>
          <w:sz w:val="22"/>
          <w:szCs w:val="22"/>
          <w:lang w:eastAsia="en-GB"/>
        </w:rPr>
      </w:pPr>
      <w:r>
        <w:t>3.2</w:t>
      </w:r>
      <w:r>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pPr>
        <w:pStyle w:val="17"/>
        <w:rPr>
          <w:rFonts w:ascii="Calibri" w:hAnsi="Calibri"/>
          <w:sz w:val="22"/>
          <w:szCs w:val="22"/>
          <w:lang w:eastAsia="en-GB"/>
        </w:rPr>
      </w:pPr>
      <w:r>
        <w:t>3.3</w:t>
      </w:r>
      <w:r>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pPr>
        <w:pStyle w:val="18"/>
        <w:rPr>
          <w:rFonts w:ascii="Calibri" w:hAnsi="Calibri"/>
          <w:szCs w:val="22"/>
          <w:lang w:eastAsia="en-GB"/>
        </w:rPr>
      </w:pPr>
      <w:r>
        <w:t>4</w:t>
      </w:r>
      <w:r>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pPr>
        <w:pStyle w:val="17"/>
        <w:rPr>
          <w:rFonts w:ascii="Calibri" w:hAnsi="Calibri"/>
          <w:sz w:val="22"/>
          <w:szCs w:val="22"/>
          <w:lang w:eastAsia="en-GB"/>
        </w:rPr>
      </w:pPr>
      <w:r>
        <w:t>4.1</w:t>
      </w:r>
      <w:r>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pPr>
        <w:pStyle w:val="17"/>
        <w:rPr>
          <w:rFonts w:ascii="Calibri" w:hAnsi="Calibri"/>
          <w:sz w:val="22"/>
          <w:szCs w:val="22"/>
          <w:lang w:eastAsia="en-GB"/>
        </w:rPr>
      </w:pPr>
      <w:r>
        <w:t>4.2</w:t>
      </w:r>
      <w:r>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pPr>
        <w:pStyle w:val="18"/>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pPr>
        <w:pStyle w:val="18"/>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pPr>
        <w:pStyle w:val="18"/>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pPr>
        <w:pStyle w:val="17"/>
        <w:rPr>
          <w:rFonts w:ascii="Calibri" w:hAnsi="Calibri"/>
          <w:sz w:val="22"/>
          <w:szCs w:val="22"/>
          <w:lang w:eastAsia="en-GB"/>
        </w:rPr>
      </w:pPr>
      <w:r>
        <w:t>X.1</w:t>
      </w:r>
      <w:r>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pPr>
        <w:pStyle w:val="18"/>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pPr>
        <w:pStyle w:val="18"/>
        <w:rPr>
          <w:rFonts w:ascii="Calibri" w:hAnsi="Calibri"/>
          <w:szCs w:val="22"/>
          <w:lang w:eastAsia="en-GB"/>
        </w:rPr>
      </w:pPr>
      <w:r>
        <w:t>Y</w:t>
      </w:r>
      <w:r>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pPr>
        <w:pStyle w:val="17"/>
        <w:rPr>
          <w:rFonts w:ascii="Calibri" w:hAnsi="Calibri"/>
          <w:sz w:val="22"/>
          <w:szCs w:val="22"/>
          <w:lang w:eastAsia="en-GB"/>
        </w:rPr>
      </w:pPr>
      <w:r>
        <w:t>Y.1</w:t>
      </w:r>
      <w:r>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pPr>
        <w:pStyle w:val="18"/>
        <w:rPr>
          <w:rFonts w:ascii="Calibri" w:hAnsi="Calibri"/>
          <w:szCs w:val="22"/>
          <w:lang w:eastAsia="en-GB"/>
        </w:rPr>
      </w:pPr>
      <w:r>
        <w:t>Y.2</w:t>
      </w:r>
      <w:r>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pPr>
        <w:pStyle w:val="18"/>
        <w:rPr>
          <w:rFonts w:ascii="Calibri" w:hAnsi="Calibri"/>
          <w:szCs w:val="22"/>
          <w:lang w:eastAsia="en-GB"/>
        </w:rPr>
      </w:pPr>
      <w:r>
        <w:t>Y.3</w:t>
      </w:r>
      <w:r>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pPr>
        <w:pStyle w:val="19"/>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pPr>
        <w:pStyle w:val="19"/>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pPr>
        <w:pStyle w:val="18"/>
        <w:rPr>
          <w:rFonts w:ascii="Calibri" w:hAnsi="Calibri"/>
          <w:szCs w:val="22"/>
          <w:lang w:eastAsia="en-GB"/>
        </w:rPr>
      </w:pPr>
      <w:r>
        <w:t>B.1</w:t>
      </w:r>
      <w:r>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pPr>
        <w:pStyle w:val="23"/>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pPr>
        <w:pStyle w:val="19"/>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pPr>
        <w:pStyle w:val="19"/>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pPr>
        <w:pStyle w:val="19"/>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
        <w:rPr>
          <w:sz w:val="22"/>
        </w:rPr>
        <w:fldChar w:fldCharType="end"/>
      </w:r>
    </w:p>
    <w:p>
      <w:pPr>
        <w:pStyle w:val="63"/>
      </w:pPr>
      <w:r>
        <w:br w:type="page"/>
      </w:r>
    </w:p>
    <w:p>
      <w:pPr>
        <w:pStyle w:val="2"/>
      </w:pPr>
      <w:bookmarkStart w:id="14" w:name="foreword"/>
      <w:bookmarkEnd w:id="14"/>
      <w:bookmarkStart w:id="15" w:name="_Toc2086433"/>
      <w:r>
        <w:t>Foreword</w:t>
      </w:r>
      <w:bookmarkEnd w:id="15"/>
    </w:p>
    <w:p>
      <w:r>
        <w:t xml:space="preserve">This Technical </w:t>
      </w:r>
      <w:bookmarkStart w:id="16" w:name="spectype3"/>
      <w:r>
        <w:rPr>
          <w:highlight w:val="yellow"/>
        </w:rPr>
        <w:t>Report</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5"/>
      </w:pPr>
      <w:r>
        <w:t>Version x.y.z</w:t>
      </w:r>
    </w:p>
    <w:p>
      <w:pPr>
        <w:pStyle w:val="45"/>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1"/>
      </w:pPr>
      <w:r>
        <w:rPr>
          <w:b/>
        </w:rPr>
        <w:t>shall</w:t>
      </w:r>
      <w:r>
        <w:tab/>
      </w:r>
      <w:r>
        <w:tab/>
      </w:r>
      <w:r>
        <w:t>indicates a mandatory requirement to do something</w:t>
      </w:r>
    </w:p>
    <w:p>
      <w:pPr>
        <w:pStyle w:val="4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1"/>
      </w:pPr>
      <w:r>
        <w:rPr>
          <w:b/>
        </w:rPr>
        <w:t>should</w:t>
      </w:r>
      <w:r>
        <w:tab/>
      </w:r>
      <w:r>
        <w:tab/>
      </w:r>
      <w:r>
        <w:t>indicates a recommendation to do something</w:t>
      </w:r>
    </w:p>
    <w:p>
      <w:pPr>
        <w:pStyle w:val="41"/>
      </w:pPr>
      <w:r>
        <w:rPr>
          <w:b/>
        </w:rPr>
        <w:t>should not</w:t>
      </w:r>
      <w:r>
        <w:tab/>
      </w:r>
      <w:r>
        <w:t>indicates a recommendation not to do something</w:t>
      </w:r>
    </w:p>
    <w:p>
      <w:pPr>
        <w:pStyle w:val="41"/>
      </w:pPr>
      <w:r>
        <w:rPr>
          <w:b/>
        </w:rPr>
        <w:t>may</w:t>
      </w:r>
      <w:r>
        <w:tab/>
      </w:r>
      <w:r>
        <w:tab/>
      </w:r>
      <w:r>
        <w:t>indicates permission to do something</w:t>
      </w:r>
    </w:p>
    <w:p>
      <w:pPr>
        <w:pStyle w:val="4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1"/>
      </w:pPr>
      <w:r>
        <w:rPr>
          <w:b/>
        </w:rPr>
        <w:t>can</w:t>
      </w:r>
      <w:r>
        <w:tab/>
      </w:r>
      <w:r>
        <w:tab/>
      </w:r>
      <w:r>
        <w:t>indicates that something is possible</w:t>
      </w:r>
    </w:p>
    <w:p>
      <w:pPr>
        <w:pStyle w:val="41"/>
      </w:pPr>
      <w:r>
        <w:rPr>
          <w:b/>
        </w:rPr>
        <w:t>cannot</w:t>
      </w:r>
      <w:r>
        <w:tab/>
      </w:r>
      <w:r>
        <w:tab/>
      </w:r>
      <w:r>
        <w:t>indicates that something is impossible</w:t>
      </w:r>
    </w:p>
    <w:p>
      <w:r>
        <w:t>The constructions "can" and "cannot" are not substitutes for "may" and "need not".</w:t>
      </w:r>
    </w:p>
    <w:p>
      <w:pPr>
        <w:pStyle w:val="41"/>
      </w:pPr>
      <w:r>
        <w:rPr>
          <w:b/>
        </w:rPr>
        <w:t>will</w:t>
      </w:r>
      <w:r>
        <w:tab/>
      </w:r>
      <w:r>
        <w:tab/>
      </w:r>
      <w:r>
        <w:t>indicates that something is certain or expected to happen as a result of action taken by an agency the behaviour of which is outside the scope of the present document</w:t>
      </w:r>
    </w:p>
    <w:p>
      <w:pPr>
        <w:pStyle w:val="41"/>
      </w:pPr>
      <w:r>
        <w:rPr>
          <w:b/>
        </w:rPr>
        <w:t>will not</w:t>
      </w:r>
      <w:r>
        <w:tab/>
      </w:r>
      <w:r>
        <w:tab/>
      </w:r>
      <w:r>
        <w:t>indicates that something is certain or expected not to happen as a result of action taken by an agency the behaviour of which is outside the scope of the present document</w:t>
      </w:r>
    </w:p>
    <w:p>
      <w:pPr>
        <w:pStyle w:val="41"/>
      </w:pPr>
      <w:r>
        <w:rPr>
          <w:b/>
        </w:rPr>
        <w:t>might</w:t>
      </w:r>
      <w:r>
        <w:tab/>
      </w:r>
      <w:r>
        <w:t>indicates a likelihood that something will happen as a result of action taken by some agency the behaviour of which is outside the scope of the present document</w:t>
      </w:r>
    </w:p>
    <w:p>
      <w:pPr>
        <w:pStyle w:val="41"/>
      </w:pPr>
      <w:r>
        <w:rPr>
          <w:b/>
        </w:rPr>
        <w:t>might not</w:t>
      </w:r>
      <w:r>
        <w:tab/>
      </w:r>
      <w:r>
        <w:t>indicates a likelihood that something will not happen as a result of action taken by some agency the behaviour of which is outside the scope of the present document</w:t>
      </w:r>
    </w:p>
    <w:p>
      <w:r>
        <w:t>In addition:</w:t>
      </w:r>
    </w:p>
    <w:p>
      <w:pPr>
        <w:pStyle w:val="41"/>
      </w:pPr>
      <w:r>
        <w:rPr>
          <w:b/>
        </w:rPr>
        <w:t>is</w:t>
      </w:r>
      <w:r>
        <w:tab/>
      </w:r>
      <w:r>
        <w:t>(or any other verb in the indicative mood) indicates a statement of fact</w:t>
      </w:r>
    </w:p>
    <w:p>
      <w:pPr>
        <w:pStyle w:val="41"/>
      </w:pPr>
      <w:r>
        <w:rPr>
          <w:b/>
        </w:rPr>
        <w:t>is not</w:t>
      </w:r>
      <w:r>
        <w:tab/>
      </w:r>
      <w:r>
        <w:t>(or any other negative verb in the indicative mood) indicates a statement of fact</w:t>
      </w:r>
    </w:p>
    <w:p>
      <w:r>
        <w:t>The constructions "is" and "is not" do not indicate requirements.</w:t>
      </w:r>
    </w:p>
    <w:p>
      <w:pPr>
        <w:pStyle w:val="2"/>
      </w:pPr>
      <w:bookmarkStart w:id="17" w:name="introduction"/>
      <w:bookmarkEnd w:id="17"/>
      <w:bookmarkStart w:id="18" w:name="_Toc2086434"/>
      <w:r>
        <w:t>Introduction</w:t>
      </w:r>
      <w:bookmarkEnd w:id="18"/>
    </w:p>
    <w:p>
      <w:pPr>
        <w:pStyle w:val="63"/>
      </w:pPr>
      <w:bookmarkStart w:id="49" w:name="_GoBack"/>
      <w:bookmarkEnd w:id="49"/>
    </w:p>
    <w:p>
      <w:pPr>
        <w:pStyle w:val="2"/>
      </w:pPr>
      <w:r>
        <w:br w:type="page"/>
      </w:r>
      <w:bookmarkStart w:id="19" w:name="scope"/>
      <w:bookmarkEnd w:id="19"/>
      <w:bookmarkStart w:id="20" w:name="_Toc2086435"/>
      <w:r>
        <w:t>1</w:t>
      </w:r>
      <w:r>
        <w:tab/>
      </w:r>
      <w:r>
        <w:t>Scope</w:t>
      </w:r>
      <w:bookmarkEnd w:id="20"/>
    </w:p>
    <w:p>
      <w:r>
        <w:t>The present document …</w:t>
      </w:r>
    </w:p>
    <w:p>
      <w:pPr>
        <w:pStyle w:val="2"/>
      </w:pPr>
      <w:bookmarkStart w:id="21" w:name="references"/>
      <w:bookmarkEnd w:id="21"/>
      <w:bookmarkStart w:id="22" w:name="_Toc2086436"/>
      <w:r>
        <w:t>2</w:t>
      </w:r>
      <w:r>
        <w:tab/>
      </w:r>
      <w:r>
        <w:t>References</w:t>
      </w:r>
      <w:bookmarkEnd w:id="22"/>
    </w:p>
    <w:p>
      <w:r>
        <w:t>The following documents contain provisions which, through reference in this text, constitute provisions of the present document.</w:t>
      </w:r>
    </w:p>
    <w:p>
      <w:pPr>
        <w:pStyle w:val="45"/>
      </w:pPr>
      <w:r>
        <w:t>-</w:t>
      </w:r>
      <w:r>
        <w:tab/>
      </w:r>
      <w:r>
        <w:t>References are either specific (identified by date of publication, edition number, version number, etc.) or non</w:t>
      </w:r>
      <w:r>
        <w:noBreakHyphen/>
      </w:r>
      <w:r>
        <w:t>specific.</w:t>
      </w:r>
    </w:p>
    <w:p>
      <w:pPr>
        <w:pStyle w:val="45"/>
      </w:pPr>
      <w:r>
        <w:t>-</w:t>
      </w:r>
      <w:r>
        <w:tab/>
      </w:r>
      <w:r>
        <w:t>For a specific reference, subsequent revisions do not apply.</w:t>
      </w:r>
    </w:p>
    <w:p>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1"/>
      </w:pPr>
      <w:r>
        <w:t>[1]</w:t>
      </w:r>
      <w:r>
        <w:tab/>
      </w:r>
      <w:r>
        <w:t>3GPP TR 21.905: "Vocabulary for 3GPP Specifications".</w:t>
      </w:r>
    </w:p>
    <w:p>
      <w:pPr>
        <w:pStyle w:val="41"/>
      </w:pPr>
      <w:r>
        <w:t>…</w:t>
      </w:r>
    </w:p>
    <w:p>
      <w:pPr>
        <w:pStyle w:val="41"/>
      </w:pPr>
      <w:r>
        <w:t>[x]</w:t>
      </w:r>
      <w:r>
        <w:tab/>
      </w:r>
      <w:r>
        <w:t>&lt;doctype&gt; &lt;#&gt;[ ([up to and including]{yyyy[-mm]|V&lt;a[.b[.c]]&gt;}[onwards])]: "&lt;Title&gt;".</w:t>
      </w:r>
    </w:p>
    <w:p>
      <w:pPr>
        <w:pStyle w:val="2"/>
      </w:pPr>
      <w:bookmarkStart w:id="23" w:name="definitions"/>
      <w:bookmarkEnd w:id="23"/>
      <w:bookmarkStart w:id="24" w:name="_Toc2086437"/>
      <w:r>
        <w:t>3</w:t>
      </w:r>
      <w:r>
        <w:tab/>
      </w:r>
      <w:r>
        <w:t>Definitions of terms, symbols and abbreviations</w:t>
      </w:r>
      <w:bookmarkEnd w:id="24"/>
    </w:p>
    <w:p>
      <w:pPr>
        <w:pStyle w:val="3"/>
      </w:pPr>
      <w:bookmarkStart w:id="25" w:name="_Toc2086438"/>
      <w:r>
        <w:t>3.1</w:t>
      </w:r>
      <w:r>
        <w:tab/>
      </w:r>
      <w:r>
        <w:t>Terms</w:t>
      </w:r>
      <w:bookmarkEnd w:id="25"/>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6" w:name="_Toc2086439"/>
      <w:r>
        <w:t>3.2</w:t>
      </w:r>
      <w:r>
        <w:tab/>
      </w:r>
      <w:r>
        <w:t>Symbols</w:t>
      </w:r>
      <w:bookmarkEnd w:id="26"/>
    </w:p>
    <w:p>
      <w:pPr>
        <w:keepNext/>
      </w:pPr>
      <w:r>
        <w:t>For the purposes of the present document, the following symbols apply:</w:t>
      </w:r>
    </w:p>
    <w:p>
      <w:pPr>
        <w:pStyle w:val="44"/>
      </w:pPr>
      <w:r>
        <w:t>&lt;symbol&gt;</w:t>
      </w:r>
      <w:r>
        <w:tab/>
      </w:r>
      <w:r>
        <w:t>&lt;Explanation&gt;</w:t>
      </w:r>
    </w:p>
    <w:p>
      <w:pPr>
        <w:pStyle w:val="44"/>
      </w:pPr>
    </w:p>
    <w:p>
      <w:pPr>
        <w:pStyle w:val="3"/>
      </w:pPr>
      <w:bookmarkStart w:id="27" w:name="_Toc2086440"/>
      <w:r>
        <w:t>3.3</w:t>
      </w:r>
      <w:r>
        <w:tab/>
      </w:r>
      <w:r>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4"/>
      </w:pPr>
      <w:r>
        <w:t>&lt;ABBREVIATION&gt;</w:t>
      </w:r>
      <w:r>
        <w:tab/>
      </w:r>
      <w:r>
        <w:t>&lt;Expansion&gt;</w:t>
      </w:r>
    </w:p>
    <w:p>
      <w:pPr>
        <w:pStyle w:val="44"/>
      </w:pPr>
    </w:p>
    <w:p>
      <w:pPr>
        <w:pStyle w:val="2"/>
        <w:numPr>
          <w:ilvl w:val="0"/>
          <w:numId w:val="1"/>
        </w:numPr>
        <w:rPr>
          <w:rFonts w:hint="eastAsia" w:eastAsia="宋体"/>
          <w:lang w:val="en-US" w:eastAsia="zh-CN"/>
        </w:rPr>
      </w:pPr>
      <w:bookmarkStart w:id="28" w:name="clause4"/>
      <w:bookmarkEnd w:id="28"/>
      <w:r>
        <w:rPr>
          <w:rFonts w:hint="eastAsia" w:eastAsia="宋体"/>
          <w:lang w:val="en-US" w:eastAsia="zh-CN"/>
        </w:rPr>
        <w:t>Overview</w:t>
      </w:r>
    </w:p>
    <w:p>
      <w:pPr>
        <w:rPr>
          <w:rFonts w:hint="eastAsia"/>
          <w:lang w:val="en-US" w:eastAsia="zh-CN"/>
        </w:rPr>
      </w:pPr>
    </w:p>
    <w:p>
      <w:pPr>
        <w:pStyle w:val="2"/>
        <w:rPr>
          <w:rFonts w:hint="default" w:eastAsia="宋体"/>
          <w:lang w:val="en-US" w:eastAsia="zh-CN"/>
        </w:rPr>
      </w:pPr>
      <w:bookmarkStart w:id="29" w:name="_Toc2086441"/>
      <w:r>
        <w:rPr>
          <w:rFonts w:hint="eastAsia" w:eastAsia="宋体"/>
          <w:lang w:val="en-US" w:eastAsia="zh-CN"/>
        </w:rPr>
        <w:t>5</w:t>
      </w:r>
      <w:r>
        <w:tab/>
      </w:r>
      <w:bookmarkEnd w:id="29"/>
      <w:r>
        <w:rPr>
          <w:rFonts w:hint="eastAsia" w:eastAsia="宋体"/>
          <w:lang w:val="en-US" w:eastAsia="zh-CN"/>
        </w:rPr>
        <w:t>Use cases</w:t>
      </w:r>
    </w:p>
    <w:p>
      <w:pPr>
        <w:pStyle w:val="3"/>
      </w:pPr>
      <w:bookmarkStart w:id="30" w:name="_Toc2086442"/>
      <w:r>
        <w:rPr>
          <w:rFonts w:hint="eastAsia" w:eastAsia="宋体"/>
          <w:lang w:val="en-US" w:eastAsia="zh-CN"/>
        </w:rPr>
        <w:t>5</w:t>
      </w:r>
      <w:r>
        <w:t>.1</w:t>
      </w:r>
      <w:r>
        <w:tab/>
      </w:r>
      <w:bookmarkEnd w:id="30"/>
      <w:bookmarkStart w:id="31" w:name="_Toc108086219"/>
      <w:r>
        <w:t>Use case 1 name</w:t>
      </w:r>
      <w:bookmarkEnd w:id="31"/>
    </w:p>
    <w:p>
      <w:pPr>
        <w:pStyle w:val="4"/>
      </w:pPr>
      <w:bookmarkStart w:id="32" w:name="_Toc103966501"/>
      <w:bookmarkStart w:id="33" w:name="_Toc108086220"/>
      <w:r>
        <w:rPr>
          <w:rFonts w:hint="eastAsia" w:eastAsia="宋体"/>
          <w:lang w:val="en-US" w:eastAsia="zh-CN"/>
        </w:rPr>
        <w:t>5</w:t>
      </w:r>
      <w:r>
        <w:t>.</w:t>
      </w:r>
      <w:r>
        <w:rPr>
          <w:rFonts w:eastAsia="宋体"/>
          <w:lang w:val="en-US" w:eastAsia="zh-CN"/>
        </w:rPr>
        <w:t>1</w:t>
      </w:r>
      <w:r>
        <w:t>.1</w:t>
      </w:r>
      <w:r>
        <w:tab/>
      </w:r>
      <w:r>
        <w:t>Description</w:t>
      </w:r>
      <w:bookmarkEnd w:id="32"/>
      <w:bookmarkEnd w:id="33"/>
    </w:p>
    <w:p>
      <w:pPr>
        <w:pStyle w:val="4"/>
      </w:pPr>
      <w:bookmarkStart w:id="34" w:name="_Toc108086221"/>
      <w:bookmarkStart w:id="35" w:name="_Toc103966502"/>
      <w:r>
        <w:rPr>
          <w:rFonts w:hint="eastAsia" w:eastAsia="宋体"/>
          <w:lang w:val="en-US" w:eastAsia="zh-CN"/>
        </w:rPr>
        <w:t>5</w:t>
      </w:r>
      <w:r>
        <w:t>.</w:t>
      </w:r>
      <w:r>
        <w:rPr>
          <w:rFonts w:eastAsia="宋体"/>
          <w:lang w:val="en-US" w:eastAsia="zh-CN"/>
        </w:rPr>
        <w:t>1</w:t>
      </w:r>
      <w:r>
        <w:t>.2</w:t>
      </w:r>
      <w:r>
        <w:tab/>
      </w:r>
      <w:r>
        <w:t>Pre-conditions</w:t>
      </w:r>
      <w:bookmarkEnd w:id="34"/>
      <w:bookmarkEnd w:id="35"/>
    </w:p>
    <w:p>
      <w:pPr>
        <w:pStyle w:val="4"/>
      </w:pPr>
      <w:bookmarkStart w:id="36" w:name="_Toc103966503"/>
      <w:bookmarkStart w:id="37" w:name="_Toc108086222"/>
      <w:r>
        <w:rPr>
          <w:rFonts w:hint="eastAsia" w:eastAsia="宋体"/>
          <w:lang w:val="en-US" w:eastAsia="zh-CN"/>
        </w:rPr>
        <w:t>5</w:t>
      </w:r>
      <w:r>
        <w:t>.</w:t>
      </w:r>
      <w:r>
        <w:rPr>
          <w:rFonts w:eastAsia="宋体"/>
          <w:lang w:val="en-US" w:eastAsia="zh-CN"/>
        </w:rPr>
        <w:t>1</w:t>
      </w:r>
      <w:r>
        <w:t>.3</w:t>
      </w:r>
      <w:r>
        <w:tab/>
      </w:r>
      <w:r>
        <w:t>Service Flows</w:t>
      </w:r>
      <w:bookmarkEnd w:id="36"/>
      <w:bookmarkEnd w:id="37"/>
    </w:p>
    <w:p>
      <w:pPr>
        <w:pStyle w:val="4"/>
      </w:pPr>
      <w:bookmarkStart w:id="38" w:name="_Toc108086223"/>
      <w:bookmarkStart w:id="39" w:name="_Toc103966504"/>
      <w:r>
        <w:rPr>
          <w:rFonts w:hint="eastAsia" w:eastAsia="宋体"/>
          <w:lang w:val="en-US" w:eastAsia="zh-CN"/>
        </w:rPr>
        <w:t>5</w:t>
      </w:r>
      <w:r>
        <w:t>.</w:t>
      </w:r>
      <w:r>
        <w:rPr>
          <w:rFonts w:eastAsia="宋体"/>
          <w:lang w:val="en-US" w:eastAsia="zh-CN"/>
        </w:rPr>
        <w:t>1</w:t>
      </w:r>
      <w:r>
        <w:t>.4</w:t>
      </w:r>
      <w:r>
        <w:tab/>
      </w:r>
      <w:r>
        <w:t>Post-conditions</w:t>
      </w:r>
      <w:bookmarkEnd w:id="38"/>
      <w:bookmarkEnd w:id="39"/>
    </w:p>
    <w:p>
      <w:pPr>
        <w:pStyle w:val="4"/>
      </w:pPr>
      <w:bookmarkStart w:id="40" w:name="_Toc108086224"/>
      <w:bookmarkStart w:id="41" w:name="_Toc103966505"/>
      <w:r>
        <w:rPr>
          <w:rFonts w:hint="eastAsia" w:eastAsia="宋体"/>
          <w:lang w:val="en-US" w:eastAsia="zh-CN"/>
        </w:rPr>
        <w:t>5</w:t>
      </w:r>
      <w:r>
        <w:t>.</w:t>
      </w:r>
      <w:r>
        <w:rPr>
          <w:rFonts w:eastAsia="宋体"/>
          <w:lang w:val="en-US" w:eastAsia="zh-CN"/>
        </w:rPr>
        <w:t>1</w:t>
      </w:r>
      <w:r>
        <w:t>.5</w:t>
      </w:r>
      <w:r>
        <w:tab/>
      </w:r>
      <w:r>
        <w:t>Existing feature partly or fully covering use case functionality</w:t>
      </w:r>
      <w:bookmarkEnd w:id="40"/>
      <w:bookmarkEnd w:id="41"/>
    </w:p>
    <w:p>
      <w:pPr>
        <w:pStyle w:val="4"/>
      </w:pPr>
      <w:bookmarkStart w:id="42" w:name="_Toc108086225"/>
      <w:bookmarkStart w:id="43" w:name="_Toc103966506"/>
      <w:r>
        <w:rPr>
          <w:rFonts w:hint="eastAsia" w:eastAsia="宋体"/>
          <w:lang w:val="en-US" w:eastAsia="zh-CN"/>
        </w:rPr>
        <w:t>5</w:t>
      </w:r>
      <w:r>
        <w:t>.</w:t>
      </w:r>
      <w:r>
        <w:rPr>
          <w:rFonts w:eastAsia="宋体"/>
          <w:lang w:val="en-US" w:eastAsia="zh-CN"/>
        </w:rPr>
        <w:t>1</w:t>
      </w:r>
      <w:r>
        <w:t>.6</w:t>
      </w:r>
      <w:r>
        <w:tab/>
      </w:r>
      <w:r>
        <w:t>Potential New Requirements needed to support the use case</w:t>
      </w:r>
      <w:bookmarkEnd w:id="42"/>
      <w:bookmarkEnd w:id="43"/>
    </w:p>
    <w:p>
      <w:pPr>
        <w:pStyle w:val="2"/>
      </w:pPr>
      <w:bookmarkStart w:id="44" w:name="_Toc108086226"/>
      <w:r>
        <w:rPr>
          <w:rFonts w:hint="eastAsia" w:eastAsia="宋体"/>
          <w:lang w:val="en-US" w:eastAsia="zh-CN"/>
        </w:rPr>
        <w:t>6</w:t>
      </w:r>
      <w:r>
        <w:tab/>
      </w:r>
      <w:r>
        <w:t>Consolidated potential requirements</w:t>
      </w:r>
      <w:bookmarkEnd w:id="44"/>
    </w:p>
    <w:p/>
    <w:p>
      <w:pPr>
        <w:pStyle w:val="2"/>
      </w:pPr>
      <w:bookmarkStart w:id="45" w:name="_Toc103966507"/>
      <w:bookmarkStart w:id="46" w:name="_Toc108086227"/>
      <w:r>
        <w:rPr>
          <w:rFonts w:hint="eastAsia" w:eastAsia="宋体"/>
          <w:lang w:val="en-US" w:eastAsia="zh-CN"/>
        </w:rPr>
        <w:t>7</w:t>
      </w:r>
      <w:r>
        <w:tab/>
      </w:r>
      <w:r>
        <w:t>Conclusion and recommendations</w:t>
      </w:r>
      <w:bookmarkEnd w:id="45"/>
      <w:bookmarkEnd w:id="46"/>
    </w:p>
    <w:p/>
    <w:p>
      <w:pPr>
        <w:pStyle w:val="63"/>
      </w:pPr>
    </w:p>
    <w:p>
      <w:pPr>
        <w:pStyle w:val="10"/>
      </w:pPr>
      <w:r>
        <w:br w:type="page"/>
      </w:r>
      <w:bookmarkStart w:id="47" w:name="_Toc2086459"/>
      <w:r>
        <w:t>Annex &lt;X&gt; (informative):</w:t>
      </w:r>
      <w:r>
        <w:br w:type="textWrapping"/>
      </w:r>
      <w:r>
        <w:t>Change history</w:t>
      </w:r>
      <w:bookmarkEnd w:id="47"/>
    </w:p>
    <w:p>
      <w:pPr>
        <w:pStyle w:val="47"/>
      </w:pPr>
      <w:bookmarkStart w:id="48" w:name="historyclause"/>
      <w:bookmarkEnd w:id="48"/>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37"/>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7"/>
              <w:rPr>
                <w:b/>
                <w:sz w:val="16"/>
              </w:rPr>
            </w:pPr>
            <w:r>
              <w:rPr>
                <w:b/>
                <w:sz w:val="16"/>
              </w:rPr>
              <w:t>Date</w:t>
            </w:r>
          </w:p>
        </w:tc>
        <w:tc>
          <w:tcPr>
            <w:tcW w:w="800" w:type="dxa"/>
            <w:shd w:val="pct10" w:color="auto" w:fill="FFFFFF"/>
          </w:tcPr>
          <w:p>
            <w:pPr>
              <w:pStyle w:val="37"/>
              <w:rPr>
                <w:b/>
                <w:sz w:val="16"/>
              </w:rPr>
            </w:pPr>
            <w:r>
              <w:rPr>
                <w:b/>
                <w:sz w:val="16"/>
              </w:rPr>
              <w:t>Meeting</w:t>
            </w:r>
          </w:p>
        </w:tc>
        <w:tc>
          <w:tcPr>
            <w:tcW w:w="1094" w:type="dxa"/>
            <w:shd w:val="pct10" w:color="auto" w:fill="FFFFFF"/>
          </w:tcPr>
          <w:p>
            <w:pPr>
              <w:pStyle w:val="37"/>
              <w:rPr>
                <w:b/>
                <w:sz w:val="16"/>
              </w:rPr>
            </w:pPr>
            <w:r>
              <w:rPr>
                <w:b/>
                <w:sz w:val="16"/>
              </w:rPr>
              <w:t>TDoc</w:t>
            </w:r>
          </w:p>
        </w:tc>
        <w:tc>
          <w:tcPr>
            <w:tcW w:w="425" w:type="dxa"/>
            <w:shd w:val="pct10" w:color="auto" w:fill="FFFFFF"/>
          </w:tcPr>
          <w:p>
            <w:pPr>
              <w:pStyle w:val="37"/>
              <w:rPr>
                <w:b/>
                <w:sz w:val="16"/>
              </w:rPr>
            </w:pPr>
            <w:r>
              <w:rPr>
                <w:b/>
                <w:sz w:val="16"/>
              </w:rPr>
              <w:t>CR</w:t>
            </w:r>
          </w:p>
        </w:tc>
        <w:tc>
          <w:tcPr>
            <w:tcW w:w="425" w:type="dxa"/>
            <w:shd w:val="pct10" w:color="auto" w:fill="FFFFFF"/>
          </w:tcPr>
          <w:p>
            <w:pPr>
              <w:pStyle w:val="37"/>
              <w:rPr>
                <w:b/>
                <w:sz w:val="16"/>
              </w:rPr>
            </w:pPr>
            <w:r>
              <w:rPr>
                <w:b/>
                <w:sz w:val="16"/>
              </w:rPr>
              <w:t>Rev</w:t>
            </w:r>
          </w:p>
        </w:tc>
        <w:tc>
          <w:tcPr>
            <w:tcW w:w="425" w:type="dxa"/>
            <w:shd w:val="pct10" w:color="auto" w:fill="FFFFFF"/>
          </w:tcPr>
          <w:p>
            <w:pPr>
              <w:pStyle w:val="37"/>
              <w:rPr>
                <w:b/>
                <w:sz w:val="16"/>
              </w:rPr>
            </w:pPr>
            <w:r>
              <w:rPr>
                <w:b/>
                <w:sz w:val="16"/>
              </w:rPr>
              <w:t>Cat</w:t>
            </w:r>
          </w:p>
        </w:tc>
        <w:tc>
          <w:tcPr>
            <w:tcW w:w="4962" w:type="dxa"/>
            <w:shd w:val="pct10" w:color="auto" w:fill="FFFFFF"/>
          </w:tcPr>
          <w:p>
            <w:pPr>
              <w:pStyle w:val="37"/>
              <w:rPr>
                <w:b/>
                <w:sz w:val="16"/>
              </w:rPr>
            </w:pPr>
            <w:r>
              <w:rPr>
                <w:b/>
                <w:sz w:val="16"/>
              </w:rPr>
              <w:t>Subject/Comment</w:t>
            </w:r>
          </w:p>
        </w:tc>
        <w:tc>
          <w:tcPr>
            <w:tcW w:w="708" w:type="dxa"/>
            <w:shd w:val="pct10" w:color="auto" w:fill="FFFFFF"/>
          </w:tcPr>
          <w:p>
            <w:pPr>
              <w:pStyle w:val="37"/>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39"/>
              <w:rPr>
                <w:rFonts w:hint="default" w:eastAsia="宋体"/>
                <w:sz w:val="16"/>
                <w:szCs w:val="16"/>
                <w:lang w:val="en-US" w:eastAsia="zh-CN"/>
              </w:rPr>
            </w:pPr>
            <w:r>
              <w:rPr>
                <w:rFonts w:hint="eastAsia" w:eastAsia="宋体"/>
                <w:sz w:val="16"/>
                <w:szCs w:val="16"/>
                <w:lang w:val="en-US" w:eastAsia="zh-CN"/>
              </w:rPr>
              <w:t>2024-03</w:t>
            </w:r>
          </w:p>
        </w:tc>
        <w:tc>
          <w:tcPr>
            <w:tcW w:w="800" w:type="dxa"/>
            <w:shd w:val="solid" w:color="FFFFFF" w:fill="auto"/>
          </w:tcPr>
          <w:p>
            <w:pPr>
              <w:pStyle w:val="39"/>
              <w:rPr>
                <w:rFonts w:hint="default" w:eastAsia="宋体"/>
                <w:sz w:val="16"/>
                <w:szCs w:val="16"/>
                <w:lang w:val="en-US" w:eastAsia="zh-CN"/>
              </w:rPr>
            </w:pPr>
            <w:r>
              <w:rPr>
                <w:rFonts w:hint="eastAsia" w:eastAsia="宋体"/>
                <w:sz w:val="16"/>
                <w:szCs w:val="16"/>
                <w:lang w:val="en-US" w:eastAsia="zh-CN"/>
              </w:rPr>
              <w:t>SA#105</w:t>
            </w:r>
          </w:p>
        </w:tc>
        <w:tc>
          <w:tcPr>
            <w:tcW w:w="1094" w:type="dxa"/>
            <w:shd w:val="solid" w:color="FFFFFF" w:fill="auto"/>
          </w:tcPr>
          <w:p>
            <w:pPr>
              <w:pStyle w:val="39"/>
              <w:rPr>
                <w:rFonts w:hint="default" w:eastAsia="宋体"/>
                <w:sz w:val="16"/>
                <w:szCs w:val="16"/>
                <w:lang w:val="en-US" w:eastAsia="zh-CN"/>
              </w:rPr>
            </w:pPr>
            <w:r>
              <w:rPr>
                <w:rFonts w:hint="eastAsia" w:eastAsia="宋体"/>
                <w:sz w:val="16"/>
                <w:szCs w:val="16"/>
                <w:lang w:val="en-US" w:eastAsia="zh-CN"/>
              </w:rPr>
              <w:t>S1-240289</w:t>
            </w:r>
          </w:p>
        </w:tc>
        <w:tc>
          <w:tcPr>
            <w:tcW w:w="425" w:type="dxa"/>
            <w:shd w:val="solid" w:color="FFFFFF" w:fill="auto"/>
          </w:tcPr>
          <w:p>
            <w:pPr>
              <w:pStyle w:val="37"/>
              <w:rPr>
                <w:sz w:val="16"/>
                <w:szCs w:val="16"/>
              </w:rPr>
            </w:pPr>
          </w:p>
        </w:tc>
        <w:tc>
          <w:tcPr>
            <w:tcW w:w="425" w:type="dxa"/>
            <w:shd w:val="solid" w:color="FFFFFF" w:fill="auto"/>
          </w:tcPr>
          <w:p>
            <w:pPr>
              <w:pStyle w:val="36"/>
              <w:rPr>
                <w:sz w:val="16"/>
                <w:szCs w:val="16"/>
              </w:rPr>
            </w:pPr>
          </w:p>
        </w:tc>
        <w:tc>
          <w:tcPr>
            <w:tcW w:w="425" w:type="dxa"/>
            <w:shd w:val="solid" w:color="FFFFFF" w:fill="auto"/>
          </w:tcPr>
          <w:p>
            <w:pPr>
              <w:pStyle w:val="39"/>
              <w:rPr>
                <w:sz w:val="16"/>
                <w:szCs w:val="16"/>
              </w:rPr>
            </w:pPr>
          </w:p>
        </w:tc>
        <w:tc>
          <w:tcPr>
            <w:tcW w:w="4962" w:type="dxa"/>
            <w:shd w:val="solid" w:color="FFFFFF" w:fill="auto"/>
          </w:tcPr>
          <w:p>
            <w:pPr>
              <w:pStyle w:val="37"/>
              <w:rPr>
                <w:sz w:val="16"/>
                <w:szCs w:val="16"/>
              </w:rPr>
            </w:pPr>
            <w:r>
              <w:rPr>
                <w:sz w:val="16"/>
                <w:szCs w:val="16"/>
              </w:rPr>
              <w:t>TR skeleton</w:t>
            </w:r>
          </w:p>
        </w:tc>
        <w:tc>
          <w:tcPr>
            <w:tcW w:w="708" w:type="dxa"/>
            <w:shd w:val="solid" w:color="FFFFFF" w:fill="auto"/>
          </w:tcPr>
          <w:p>
            <w:pPr>
              <w:pStyle w:val="39"/>
              <w:rPr>
                <w:rFonts w:hint="default" w:eastAsia="宋体"/>
                <w:sz w:val="16"/>
                <w:szCs w:val="16"/>
                <w:lang w:val="en-US" w:eastAsia="zh-CN"/>
              </w:rPr>
            </w:pPr>
            <w:r>
              <w:rPr>
                <w:rFonts w:hint="eastAsia" w:eastAsia="宋体"/>
                <w:sz w:val="16"/>
                <w:szCs w:val="16"/>
                <w:lang w:val="en-US" w:eastAsia="zh-CN"/>
              </w:rPr>
              <w:t>0.0.0</w:t>
            </w:r>
          </w:p>
        </w:tc>
      </w:tr>
    </w:tbl>
    <w:p>
      <w:pPr>
        <w:pStyle w:val="63"/>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22.xxx V0.0.0 (2024-02)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B9A8F7"/>
    <w:multiLevelType w:val="singleLevel"/>
    <w:tmpl w:val="01B9A8F7"/>
    <w:lvl w:ilvl="0" w:tentative="0">
      <w:start w:val="4"/>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C21C3"/>
    <w:rsid w:val="001D02C2"/>
    <w:rsid w:val="001F0C1D"/>
    <w:rsid w:val="001F1132"/>
    <w:rsid w:val="001F168B"/>
    <w:rsid w:val="002347A2"/>
    <w:rsid w:val="002577A9"/>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827695D"/>
    <w:rsid w:val="1E7E1EBC"/>
    <w:rsid w:val="2B9E489A"/>
    <w:rsid w:val="46B24D79"/>
    <w:rsid w:val="494C24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18</Pages>
  <Words>2962</Words>
  <Characters>16387</Characters>
  <Lines>136</Lines>
  <Paragraphs>38</Paragraphs>
  <TotalTime>0</TotalTime>
  <ScaleCrop>false</ScaleCrop>
  <LinksUpToDate>false</LinksUpToDate>
  <CharactersWithSpaces>19311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2021-06-24T07:54:00Z</dcterms:created>
  <dc:creator>MCC Support</dc:creator>
  <cp:keywords>&lt;keyword[, keyword, ]&gt;</cp:keywords>
  <cp:lastModifiedBy>Xiaonan-CMCC 0301</cp:lastModifiedBy>
  <cp:lastPrinted>2019-02-25T14:05:00Z</cp:lastPrinted>
  <dcterms:modified xsi:type="dcterms:W3CDTF">2024-03-01T08:03:39Z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7BF1AAFDF91D4C7E8A59D4DBAC58EF8E</vt:lpwstr>
  </property>
</Properties>
</file>